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1708EF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  <w:bookmarkStart w:id="0" w:name="_GoBack"/>
      <w:bookmarkEnd w:id="0"/>
    </w:p>
    <w:p w14:paraId="466BD3EC" w14:textId="5706E490" w:rsidR="00950103" w:rsidRPr="00BC2C1E" w:rsidRDefault="00950103" w:rsidP="001708EF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</w:rPr>
      </w:pPr>
    </w:p>
    <w:p w14:paraId="25D25702" w14:textId="459676FC" w:rsidR="00F109AA" w:rsidRPr="004C19DF" w:rsidRDefault="00F109AA" w:rsidP="00F109AA">
      <w:pPr>
        <w:spacing w:before="120" w:after="120"/>
        <w:rPr>
          <w:rFonts w:ascii="Gotham" w:hAnsi="Gotham"/>
          <w:b/>
        </w:rPr>
      </w:pPr>
      <w:r w:rsidRPr="004C19DF">
        <w:rPr>
          <w:rFonts w:ascii="Gotham" w:hAnsi="Gotham"/>
          <w:b/>
        </w:rPr>
        <w:t xml:space="preserve">ANNEX </w:t>
      </w:r>
      <w:r w:rsidR="00B6334C">
        <w:rPr>
          <w:rFonts w:ascii="Gotham" w:hAnsi="Gotham"/>
          <w:b/>
        </w:rPr>
        <w:t>8</w:t>
      </w:r>
      <w:r w:rsidRPr="004C19DF">
        <w:rPr>
          <w:rFonts w:ascii="Gotham" w:hAnsi="Gotham"/>
          <w:b/>
        </w:rPr>
        <w:t>. DECLARACIÓ RESPONSABLE SOBRE EL COMPLIMENT DEL PRINCIPI DE NO CAUSAR PERJUDICI SIGNIFICATIU ALS SIS OBJECTIUS MEDIAMBIENTALS EN EL SENTIT DE L’ARTICLE 17 DEL REGLAMENT (UE) 2020/852</w:t>
      </w:r>
    </w:p>
    <w:p w14:paraId="1160A505" w14:textId="77777777" w:rsidR="00F109AA" w:rsidRPr="004C19DF" w:rsidRDefault="00F109AA" w:rsidP="00F109AA">
      <w:pPr>
        <w:pStyle w:val="Textoindependiente"/>
        <w:spacing w:before="241"/>
        <w:rPr>
          <w:rFonts w:ascii="Gotham" w:hAnsi="Gotham"/>
          <w:sz w:val="20"/>
        </w:rPr>
      </w:pPr>
    </w:p>
    <w:p w14:paraId="43A77A9F" w14:textId="77777777" w:rsidR="00F109AA" w:rsidRPr="004C19DF" w:rsidRDefault="00F109AA" w:rsidP="00F109AA">
      <w:pPr>
        <w:pStyle w:val="Textoindependiente"/>
        <w:spacing w:before="241"/>
        <w:jc w:val="both"/>
        <w:rPr>
          <w:rFonts w:ascii="Gotham" w:hAnsi="Gotham"/>
          <w:sz w:val="20"/>
        </w:rPr>
      </w:pPr>
      <w:r w:rsidRPr="004C19DF">
        <w:rPr>
          <w:rFonts w:ascii="Gotham" w:hAnsi="Gotham"/>
          <w:sz w:val="20"/>
        </w:rPr>
        <w:t>Expedient:</w:t>
      </w:r>
    </w:p>
    <w:p w14:paraId="0B17FC62" w14:textId="77777777" w:rsidR="00F109AA" w:rsidRPr="004C19DF" w:rsidRDefault="00F109AA" w:rsidP="00F109AA">
      <w:pPr>
        <w:pStyle w:val="Textoindependiente"/>
        <w:spacing w:before="4"/>
        <w:jc w:val="both"/>
        <w:rPr>
          <w:rFonts w:ascii="Gotham" w:hAnsi="Gotham"/>
          <w:sz w:val="20"/>
        </w:rPr>
      </w:pPr>
      <w:r w:rsidRPr="004C19DF">
        <w:rPr>
          <w:rFonts w:ascii="Gotham" w:hAnsi="Gotham" w:cs="Calibri"/>
          <w:sz w:val="20"/>
        </w:rPr>
        <w:t>Contracte:</w:t>
      </w:r>
    </w:p>
    <w:p w14:paraId="3239EE2E" w14:textId="77777777" w:rsidR="00F109AA" w:rsidRPr="004C19DF" w:rsidRDefault="00F109AA" w:rsidP="00F109AA">
      <w:pPr>
        <w:pStyle w:val="Textoindependiente"/>
        <w:spacing w:before="191" w:line="278" w:lineRule="auto"/>
        <w:jc w:val="both"/>
        <w:rPr>
          <w:rFonts w:ascii="Gotham" w:hAnsi="Gotham"/>
          <w:sz w:val="20"/>
        </w:rPr>
      </w:pPr>
    </w:p>
    <w:p w14:paraId="7373257D" w14:textId="77777777" w:rsidR="00F109AA" w:rsidRPr="004C19DF" w:rsidRDefault="00F109AA" w:rsidP="00F109AA">
      <w:pPr>
        <w:pStyle w:val="Textoindependiente"/>
        <w:spacing w:before="191" w:line="278" w:lineRule="auto"/>
        <w:jc w:val="both"/>
        <w:rPr>
          <w:rFonts w:ascii="Gotham" w:hAnsi="Gotham"/>
          <w:sz w:val="20"/>
        </w:rPr>
      </w:pPr>
      <w:r w:rsidRPr="004C19DF">
        <w:rPr>
          <w:rFonts w:ascii="Gotham" w:hAnsi="Gotham"/>
          <w:sz w:val="20"/>
        </w:rPr>
        <w:t>Component del Pla de recuperació, transformació i resiliència (PRTR) al qual pertany</w:t>
      </w:r>
      <w:r w:rsidRPr="004C19DF">
        <w:rPr>
          <w:rFonts w:ascii="Gotham" w:hAnsi="Gotham"/>
          <w:spacing w:val="-59"/>
          <w:sz w:val="20"/>
        </w:rPr>
        <w:t xml:space="preserve"> </w:t>
      </w:r>
      <w:r w:rsidRPr="004C19DF">
        <w:rPr>
          <w:rFonts w:ascii="Gotham" w:hAnsi="Gotham"/>
          <w:sz w:val="20"/>
        </w:rPr>
        <w:t>l’activitat:</w:t>
      </w:r>
    </w:p>
    <w:p w14:paraId="237210E4" w14:textId="77777777" w:rsidR="00F109AA" w:rsidRPr="004C19DF" w:rsidRDefault="00F109AA" w:rsidP="00F109AA">
      <w:pPr>
        <w:pStyle w:val="Textoindependiente"/>
        <w:spacing w:before="196" w:line="278" w:lineRule="auto"/>
        <w:jc w:val="both"/>
        <w:rPr>
          <w:rFonts w:ascii="Gotham" w:hAnsi="Gotham"/>
          <w:sz w:val="20"/>
        </w:rPr>
      </w:pPr>
      <w:r w:rsidRPr="004C19DF">
        <w:rPr>
          <w:rFonts w:ascii="Gotham" w:hAnsi="Gotham"/>
          <w:sz w:val="20"/>
        </w:rPr>
        <w:t xml:space="preserve">Mesura del component PRTR a què pertany l’activitat indicant, si escau, la </w:t>
      </w:r>
      <w:proofErr w:type="spellStart"/>
      <w:r w:rsidRPr="004C19DF">
        <w:rPr>
          <w:rFonts w:ascii="Gotham" w:hAnsi="Gotham"/>
          <w:sz w:val="20"/>
        </w:rPr>
        <w:t>submesura</w:t>
      </w:r>
      <w:proofErr w:type="spellEnd"/>
      <w:r w:rsidRPr="004C19DF">
        <w:rPr>
          <w:rFonts w:ascii="Gotham" w:hAnsi="Gotham"/>
          <w:spacing w:val="-59"/>
          <w:sz w:val="20"/>
        </w:rPr>
        <w:t xml:space="preserve"> </w:t>
      </w:r>
      <w:r w:rsidRPr="004C19DF">
        <w:rPr>
          <w:rFonts w:ascii="Gotham" w:hAnsi="Gotham"/>
          <w:color w:val="365F91"/>
          <w:sz w:val="20"/>
        </w:rPr>
        <w:t>:</w:t>
      </w:r>
    </w:p>
    <w:p w14:paraId="69FEC4A1" w14:textId="77777777" w:rsidR="00F109AA" w:rsidRPr="004C19DF" w:rsidRDefault="00F109AA" w:rsidP="00F109AA">
      <w:pPr>
        <w:pStyle w:val="Textoindependiente"/>
        <w:spacing w:before="195" w:line="276" w:lineRule="auto"/>
        <w:jc w:val="both"/>
        <w:rPr>
          <w:rFonts w:ascii="Gotham" w:hAnsi="Gotham"/>
          <w:sz w:val="20"/>
        </w:rPr>
      </w:pPr>
      <w:r w:rsidRPr="004C19DF">
        <w:rPr>
          <w:rFonts w:ascii="Gotham" w:hAnsi="Gotham"/>
          <w:sz w:val="20"/>
        </w:rPr>
        <w:t>Etiquetatge climàtic i mediambiental assignat a la mesura (reforma o inversió) o a la</w:t>
      </w:r>
      <w:r w:rsidRPr="004C19DF">
        <w:rPr>
          <w:rFonts w:ascii="Gotham" w:hAnsi="Gotham"/>
          <w:spacing w:val="1"/>
          <w:sz w:val="20"/>
        </w:rPr>
        <w:t xml:space="preserve"> </w:t>
      </w:r>
      <w:proofErr w:type="spellStart"/>
      <w:r w:rsidRPr="004C19DF">
        <w:rPr>
          <w:rFonts w:ascii="Gotham" w:hAnsi="Gotham"/>
          <w:sz w:val="20"/>
        </w:rPr>
        <w:t>submesura</w:t>
      </w:r>
      <w:proofErr w:type="spellEnd"/>
      <w:r w:rsidRPr="004C19DF">
        <w:rPr>
          <w:rFonts w:ascii="Gotham" w:hAnsi="Gotham"/>
          <w:sz w:val="20"/>
        </w:rPr>
        <w:t xml:space="preserve"> del PRTR (si la mesura no disposa d’etiqueta assignada que reconegui</w:t>
      </w:r>
      <w:r w:rsidRPr="004C19DF">
        <w:rPr>
          <w:rFonts w:ascii="Gotham" w:hAnsi="Gotham"/>
          <w:spacing w:val="1"/>
          <w:sz w:val="20"/>
        </w:rPr>
        <w:t xml:space="preserve"> </w:t>
      </w:r>
      <w:r w:rsidRPr="004C19DF">
        <w:rPr>
          <w:rFonts w:ascii="Gotham" w:hAnsi="Gotham"/>
          <w:sz w:val="20"/>
        </w:rPr>
        <w:t xml:space="preserve">contribució climàtica i mediambiental, cal indicar “sense etiqueta”): </w:t>
      </w:r>
    </w:p>
    <w:p w14:paraId="6DCA5177" w14:textId="77777777" w:rsidR="00F109AA" w:rsidRPr="004C19DF" w:rsidRDefault="00F109AA" w:rsidP="00F109AA">
      <w:pPr>
        <w:tabs>
          <w:tab w:val="left" w:leader="dot" w:pos="3735"/>
        </w:tabs>
        <w:spacing w:before="198" w:line="276" w:lineRule="auto"/>
        <w:jc w:val="both"/>
        <w:rPr>
          <w:rFonts w:ascii="Gotham" w:hAnsi="Gotham"/>
        </w:rPr>
      </w:pPr>
      <w:r w:rsidRPr="004C19DF">
        <w:rPr>
          <w:rFonts w:ascii="Gotham" w:hAnsi="Gotham"/>
        </w:rPr>
        <w:t>Jo, el sotasignat/</w:t>
      </w:r>
      <w:proofErr w:type="spellStart"/>
      <w:r w:rsidRPr="004C19DF">
        <w:rPr>
          <w:rFonts w:ascii="Gotham" w:hAnsi="Gotham"/>
        </w:rPr>
        <w:t>ada</w:t>
      </w:r>
      <w:proofErr w:type="spellEnd"/>
      <w:r w:rsidRPr="004C19DF">
        <w:rPr>
          <w:rFonts w:ascii="Gotham" w:hAnsi="Gotham"/>
        </w:rPr>
        <w:t>, ............................................................, amb DNI ..........................., en nom propi / en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representació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de</w:t>
      </w:r>
      <w:r w:rsidRPr="004C19DF">
        <w:rPr>
          <w:rFonts w:ascii="Gotham" w:hAnsi="Gotham"/>
          <w:spacing w:val="-5"/>
        </w:rPr>
        <w:t xml:space="preserve"> </w:t>
      </w:r>
      <w:r w:rsidRPr="004C19DF">
        <w:rPr>
          <w:rFonts w:ascii="Gotham" w:hAnsi="Gotham"/>
        </w:rPr>
        <w:t>l’entitat  ......................................,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amb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NIF......................, en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qualitat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de.............................,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com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a participant en el procediment d’adjudicació del contracte indicat, sota la meva</w:t>
      </w:r>
      <w:r w:rsidRPr="004C19DF">
        <w:rPr>
          <w:rFonts w:ascii="Gotham" w:hAnsi="Gotham"/>
          <w:spacing w:val="-59"/>
        </w:rPr>
        <w:t xml:space="preserve">    </w:t>
      </w:r>
      <w:r w:rsidRPr="004C19DF">
        <w:rPr>
          <w:rFonts w:ascii="Gotham" w:hAnsi="Gotham"/>
        </w:rPr>
        <w:t xml:space="preserve"> responsabilitat,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en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matèria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mediambiental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  <w:b/>
        </w:rPr>
        <w:t>declaro</w:t>
      </w:r>
      <w:r w:rsidRPr="004C19DF">
        <w:rPr>
          <w:rFonts w:ascii="Gotham" w:hAnsi="Gotham"/>
          <w:b/>
          <w:spacing w:val="1"/>
        </w:rPr>
        <w:t xml:space="preserve"> </w:t>
      </w:r>
      <w:r w:rsidRPr="004C19DF">
        <w:rPr>
          <w:rFonts w:ascii="Gotham" w:hAnsi="Gotham"/>
          <w:b/>
        </w:rPr>
        <w:t>que</w:t>
      </w:r>
      <w:r w:rsidRPr="004C19DF">
        <w:rPr>
          <w:rFonts w:ascii="Gotham" w:hAnsi="Gotham"/>
        </w:rPr>
        <w:t>:</w:t>
      </w:r>
    </w:p>
    <w:p w14:paraId="05A4418A" w14:textId="77777777" w:rsidR="00F109AA" w:rsidRPr="004C19DF" w:rsidRDefault="00F109AA" w:rsidP="00F109AA">
      <w:pPr>
        <w:pStyle w:val="Prrafodelista"/>
        <w:widowControl w:val="0"/>
        <w:numPr>
          <w:ilvl w:val="0"/>
          <w:numId w:val="38"/>
        </w:numPr>
        <w:tabs>
          <w:tab w:val="left" w:pos="1062"/>
        </w:tabs>
        <w:autoSpaceDE w:val="0"/>
        <w:autoSpaceDN w:val="0"/>
        <w:spacing w:before="195" w:line="278" w:lineRule="auto"/>
        <w:ind w:left="426"/>
        <w:jc w:val="both"/>
        <w:rPr>
          <w:rFonts w:ascii="Gotham" w:hAnsi="Gotham"/>
        </w:rPr>
      </w:pPr>
      <w:r w:rsidRPr="004C19DF">
        <w:rPr>
          <w:rFonts w:ascii="Gotham" w:hAnsi="Gotham"/>
        </w:rPr>
        <w:t>Les activitats que es desenvolupen no ocasionen un perjudici significatiu als següents</w:t>
      </w:r>
      <w:r w:rsidRPr="004C19DF">
        <w:rPr>
          <w:rFonts w:ascii="Gotham" w:hAnsi="Gotham"/>
          <w:spacing w:val="-59"/>
        </w:rPr>
        <w:t xml:space="preserve"> </w:t>
      </w:r>
      <w:r w:rsidRPr="004C19DF">
        <w:rPr>
          <w:rFonts w:ascii="Gotham" w:hAnsi="Gotham"/>
        </w:rPr>
        <w:t>objectius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mediambientals:</w:t>
      </w:r>
    </w:p>
    <w:p w14:paraId="0972EFA0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spacing w:before="198"/>
        <w:ind w:left="1418" w:hanging="361"/>
        <w:rPr>
          <w:rFonts w:ascii="Gotham" w:hAnsi="Gotham"/>
        </w:rPr>
      </w:pPr>
      <w:r w:rsidRPr="004C19DF">
        <w:rPr>
          <w:rFonts w:ascii="Gotham" w:hAnsi="Gotham"/>
        </w:rPr>
        <w:t>Mitigació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del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canvi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climàtic.</w:t>
      </w:r>
    </w:p>
    <w:p w14:paraId="195F9236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ind w:left="1418" w:hanging="361"/>
        <w:rPr>
          <w:rFonts w:ascii="Gotham" w:hAnsi="Gotham"/>
        </w:rPr>
      </w:pPr>
      <w:r w:rsidRPr="004C19DF">
        <w:rPr>
          <w:rFonts w:ascii="Gotham" w:hAnsi="Gotham"/>
        </w:rPr>
        <w:t>Adaptació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al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canvi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climàtic.</w:t>
      </w:r>
    </w:p>
    <w:p w14:paraId="0278E73B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spacing w:before="1"/>
        <w:ind w:left="1418" w:hanging="361"/>
        <w:rPr>
          <w:rFonts w:ascii="Gotham" w:hAnsi="Gotham"/>
        </w:rPr>
      </w:pPr>
      <w:r w:rsidRPr="004C19DF">
        <w:rPr>
          <w:rFonts w:ascii="Gotham" w:hAnsi="Gotham"/>
        </w:rPr>
        <w:t>Ús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sostenible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i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protecció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dels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recursos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hídrics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i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marins.</w:t>
      </w:r>
    </w:p>
    <w:p w14:paraId="734B6C17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spacing w:before="1"/>
        <w:ind w:left="1418" w:hanging="361"/>
        <w:rPr>
          <w:rFonts w:ascii="Gotham" w:hAnsi="Gotham"/>
        </w:rPr>
      </w:pPr>
      <w:r w:rsidRPr="004C19DF">
        <w:rPr>
          <w:rFonts w:ascii="Gotham" w:hAnsi="Gotham"/>
        </w:rPr>
        <w:t>Economia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circular,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inclosos la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prevenció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i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el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reciclatge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de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residus.</w:t>
      </w:r>
    </w:p>
    <w:p w14:paraId="2F7EAE43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ind w:left="1418" w:hanging="361"/>
        <w:rPr>
          <w:rFonts w:ascii="Gotham" w:hAnsi="Gotham"/>
        </w:rPr>
      </w:pPr>
      <w:r w:rsidRPr="004C19DF">
        <w:rPr>
          <w:rFonts w:ascii="Gotham" w:hAnsi="Gotham"/>
        </w:rPr>
        <w:t>Prevenció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i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control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de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la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contaminació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a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l’atmosfera,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l’aigua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o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el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sòl.</w:t>
      </w:r>
    </w:p>
    <w:p w14:paraId="29F00D25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ind w:left="1418" w:hanging="361"/>
        <w:rPr>
          <w:rFonts w:ascii="Gotham" w:hAnsi="Gotham"/>
        </w:rPr>
      </w:pPr>
      <w:r w:rsidRPr="004C19DF">
        <w:rPr>
          <w:rFonts w:ascii="Gotham" w:hAnsi="Gotham"/>
        </w:rPr>
        <w:t>Protecció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i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restauració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de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la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biodiversitat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i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els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ecosistemes.</w:t>
      </w:r>
    </w:p>
    <w:p w14:paraId="7934FEE2" w14:textId="77777777" w:rsidR="00F109AA" w:rsidRPr="004C19DF" w:rsidRDefault="00F109AA" w:rsidP="00F109AA">
      <w:pPr>
        <w:pStyle w:val="Prrafodelista"/>
        <w:widowControl w:val="0"/>
        <w:numPr>
          <w:ilvl w:val="0"/>
          <w:numId w:val="38"/>
        </w:numPr>
        <w:tabs>
          <w:tab w:val="left" w:pos="1062"/>
        </w:tabs>
        <w:autoSpaceDE w:val="0"/>
        <w:autoSpaceDN w:val="0"/>
        <w:spacing w:before="233" w:line="278" w:lineRule="auto"/>
        <w:ind w:left="426"/>
        <w:jc w:val="both"/>
        <w:rPr>
          <w:rFonts w:ascii="Gotham" w:hAnsi="Gotham"/>
        </w:rPr>
      </w:pPr>
      <w:r w:rsidRPr="004C19DF">
        <w:rPr>
          <w:rFonts w:ascii="Gotham" w:hAnsi="Gotham"/>
        </w:rPr>
        <w:t>Les activitats s’adeqüen, si escau, a les característiques fixades per a la mesura i</w:t>
      </w:r>
      <w:r w:rsidRPr="004C19DF">
        <w:rPr>
          <w:rFonts w:ascii="Gotham" w:hAnsi="Gotham"/>
          <w:spacing w:val="-59"/>
        </w:rPr>
        <w:t xml:space="preserve"> </w:t>
      </w:r>
      <w:proofErr w:type="spellStart"/>
      <w:r w:rsidRPr="004C19DF">
        <w:rPr>
          <w:rFonts w:ascii="Gotham" w:hAnsi="Gotham"/>
        </w:rPr>
        <w:t>submesura</w:t>
      </w:r>
      <w:proofErr w:type="spellEnd"/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del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component i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reflectides en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el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Pla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de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recuperació,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transformació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i resiliència.</w:t>
      </w:r>
    </w:p>
    <w:p w14:paraId="01231805" w14:textId="77777777" w:rsidR="00F109AA" w:rsidRPr="004C19DF" w:rsidRDefault="00F109AA" w:rsidP="00F109AA">
      <w:pPr>
        <w:pStyle w:val="Prrafodelista"/>
        <w:widowControl w:val="0"/>
        <w:numPr>
          <w:ilvl w:val="0"/>
          <w:numId w:val="38"/>
        </w:numPr>
        <w:tabs>
          <w:tab w:val="left" w:pos="1062"/>
        </w:tabs>
        <w:autoSpaceDE w:val="0"/>
        <w:autoSpaceDN w:val="0"/>
        <w:spacing w:before="233" w:line="278" w:lineRule="auto"/>
        <w:ind w:left="426"/>
        <w:jc w:val="both"/>
        <w:rPr>
          <w:rFonts w:ascii="Gotham" w:hAnsi="Gotham"/>
        </w:rPr>
      </w:pPr>
      <w:r w:rsidRPr="004C19DF">
        <w:rPr>
          <w:rFonts w:ascii="Gotham" w:hAnsi="Gotham"/>
        </w:rPr>
        <w:t>Les activitats que es desenvolupen en el projecte compliran amb la normativa mediambiental vigent que sigui aplicable.</w:t>
      </w:r>
    </w:p>
    <w:p w14:paraId="3A5D2B4B" w14:textId="77777777" w:rsidR="00F109AA" w:rsidRPr="004C19DF" w:rsidRDefault="00F109AA" w:rsidP="00F109AA">
      <w:pPr>
        <w:pStyle w:val="Textoindependiente"/>
        <w:spacing w:before="200" w:line="276" w:lineRule="auto"/>
        <w:ind w:right="454"/>
        <w:rPr>
          <w:rFonts w:ascii="Gotham" w:hAnsi="Gotham"/>
          <w:sz w:val="20"/>
        </w:rPr>
      </w:pPr>
      <w:r w:rsidRPr="004C19DF">
        <w:rPr>
          <w:rFonts w:ascii="Gotham" w:hAnsi="Gotham"/>
          <w:sz w:val="20"/>
        </w:rPr>
        <w:t>Les activitats que es desenvolupen no estan excloses per al finançament pel Pla de</w:t>
      </w:r>
      <w:r w:rsidRPr="004C19DF">
        <w:rPr>
          <w:rFonts w:ascii="Gotham" w:hAnsi="Gotham"/>
          <w:spacing w:val="1"/>
          <w:sz w:val="20"/>
        </w:rPr>
        <w:t xml:space="preserve"> </w:t>
      </w:r>
      <w:r w:rsidRPr="004C19DF">
        <w:rPr>
          <w:rFonts w:ascii="Gotham" w:hAnsi="Gotham"/>
          <w:sz w:val="20"/>
        </w:rPr>
        <w:t xml:space="preserve">recuperació, transformació i resiliència d’acord amb la </w:t>
      </w:r>
      <w:hyperlink r:id="rId8">
        <w:r w:rsidRPr="004C19DF">
          <w:rPr>
            <w:rFonts w:ascii="Gotham" w:hAnsi="Gotham"/>
            <w:color w:val="800080"/>
            <w:sz w:val="20"/>
            <w:u w:val="single" w:color="800080"/>
          </w:rPr>
          <w:t>Guia tècnica sobre l’aplicació del</w:t>
        </w:r>
      </w:hyperlink>
      <w:r w:rsidRPr="004C19DF">
        <w:rPr>
          <w:rFonts w:ascii="Gotham" w:hAnsi="Gotham"/>
          <w:color w:val="800080"/>
          <w:spacing w:val="1"/>
          <w:sz w:val="20"/>
        </w:rPr>
        <w:t xml:space="preserve"> </w:t>
      </w:r>
      <w:hyperlink r:id="rId9">
        <w:r w:rsidRPr="004C19DF">
          <w:rPr>
            <w:rFonts w:ascii="Gotham" w:hAnsi="Gotham"/>
            <w:color w:val="800080"/>
            <w:sz w:val="20"/>
            <w:u w:val="single" w:color="800080"/>
          </w:rPr>
          <w:t>principi “no causar un perjudici significatiu” en virtut del Reglament relatiu al Mecanisme de</w:t>
        </w:r>
      </w:hyperlink>
      <w:r w:rsidRPr="004C19DF">
        <w:rPr>
          <w:rFonts w:ascii="Gotham" w:hAnsi="Gotham"/>
          <w:color w:val="800080"/>
          <w:spacing w:val="-59"/>
          <w:sz w:val="20"/>
        </w:rPr>
        <w:t xml:space="preserve"> </w:t>
      </w:r>
      <w:hyperlink r:id="rId10">
        <w:r w:rsidRPr="004C19DF">
          <w:rPr>
            <w:rFonts w:ascii="Gotham" w:hAnsi="Gotham"/>
            <w:color w:val="800080"/>
            <w:sz w:val="20"/>
            <w:u w:val="single" w:color="800080"/>
          </w:rPr>
          <w:t>Recuperació i Resiliència (2021/C 58/01)</w:t>
        </w:r>
      </w:hyperlink>
      <w:r w:rsidRPr="004C19DF">
        <w:rPr>
          <w:rFonts w:ascii="Gotham" w:hAnsi="Gotham"/>
          <w:sz w:val="20"/>
        </w:rPr>
        <w:t xml:space="preserve">, a la </w:t>
      </w:r>
      <w:hyperlink r:id="rId11">
        <w:r w:rsidRPr="004C19DF">
          <w:rPr>
            <w:rFonts w:ascii="Gotham" w:hAnsi="Gotham"/>
            <w:color w:val="800080"/>
            <w:sz w:val="20"/>
            <w:u w:val="single" w:color="800080"/>
          </w:rPr>
          <w:t xml:space="preserve">Proposta de Decisió </w:t>
        </w:r>
        <w:r w:rsidRPr="004C19DF">
          <w:rPr>
            <w:rFonts w:ascii="Gotham" w:hAnsi="Gotham"/>
            <w:color w:val="800080"/>
            <w:sz w:val="20"/>
            <w:u w:val="single" w:color="800080"/>
          </w:rPr>
          <w:lastRenderedPageBreak/>
          <w:t>d’execució del Consel</w:t>
        </w:r>
        <w:r w:rsidRPr="004C19DF">
          <w:rPr>
            <w:rFonts w:ascii="Gotham" w:hAnsi="Gotham"/>
            <w:color w:val="800080"/>
            <w:sz w:val="20"/>
          </w:rPr>
          <w:t>l</w:t>
        </w:r>
      </w:hyperlink>
      <w:r w:rsidRPr="004C19DF">
        <w:rPr>
          <w:rFonts w:ascii="Gotham" w:hAnsi="Gotham"/>
          <w:color w:val="800080"/>
          <w:spacing w:val="1"/>
          <w:sz w:val="20"/>
        </w:rPr>
        <w:t xml:space="preserve"> </w:t>
      </w:r>
      <w:hyperlink r:id="rId12">
        <w:r w:rsidRPr="004C19DF">
          <w:rPr>
            <w:rFonts w:ascii="Gotham" w:hAnsi="Gotham"/>
            <w:color w:val="800080"/>
            <w:sz w:val="20"/>
            <w:u w:val="single" w:color="800080"/>
          </w:rPr>
          <w:t>relativa a l’aprovació de l’avaluació del pla de recuperació i resiliència d’Espanya</w:t>
        </w:r>
        <w:r w:rsidRPr="004C19DF">
          <w:rPr>
            <w:rFonts w:ascii="Gotham" w:hAnsi="Gotham"/>
            <w:color w:val="800080"/>
            <w:sz w:val="20"/>
          </w:rPr>
          <w:t xml:space="preserve"> </w:t>
        </w:r>
      </w:hyperlink>
      <w:r w:rsidRPr="004C19DF">
        <w:rPr>
          <w:rFonts w:ascii="Gotham" w:hAnsi="Gotham"/>
          <w:sz w:val="20"/>
        </w:rPr>
        <w:t>i al seu</w:t>
      </w:r>
      <w:r w:rsidRPr="004C19DF">
        <w:rPr>
          <w:rFonts w:ascii="Gotham" w:hAnsi="Gotham"/>
          <w:spacing w:val="1"/>
          <w:sz w:val="20"/>
        </w:rPr>
        <w:t xml:space="preserve"> </w:t>
      </w:r>
      <w:hyperlink r:id="rId13">
        <w:r w:rsidRPr="004C19DF">
          <w:rPr>
            <w:rFonts w:ascii="Gotham" w:hAnsi="Gotham"/>
            <w:color w:val="0000FF"/>
            <w:sz w:val="20"/>
            <w:u w:val="single" w:color="0000FF"/>
          </w:rPr>
          <w:t>annex</w:t>
        </w:r>
      </w:hyperlink>
      <w:r w:rsidRPr="004C19DF">
        <w:rPr>
          <w:rFonts w:ascii="Gotham" w:hAnsi="Gotham"/>
          <w:sz w:val="20"/>
        </w:rPr>
        <w:t>.</w:t>
      </w:r>
    </w:p>
    <w:p w14:paraId="2352ADEC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062"/>
        </w:tabs>
        <w:autoSpaceDE w:val="0"/>
        <w:autoSpaceDN w:val="0"/>
        <w:spacing w:before="201" w:line="273" w:lineRule="auto"/>
        <w:jc w:val="both"/>
        <w:rPr>
          <w:rFonts w:ascii="Gotham" w:hAnsi="Gotham"/>
        </w:rPr>
      </w:pPr>
      <w:r w:rsidRPr="004C19DF">
        <w:rPr>
          <w:rFonts w:ascii="Gotham" w:hAnsi="Gotham"/>
        </w:rPr>
        <w:t>Construcció de refineries de cru, centrals tèrmiques de carbó i projectes que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impliquin l'extracció de petroli o gas natural, a causa del perjudici a l’objectiu de</w:t>
      </w:r>
      <w:r w:rsidRPr="004C19DF">
        <w:rPr>
          <w:rFonts w:ascii="Gotham" w:hAnsi="Gotham"/>
          <w:spacing w:val="-60"/>
        </w:rPr>
        <w:t xml:space="preserve"> </w:t>
      </w:r>
      <w:r w:rsidRPr="004C19DF">
        <w:rPr>
          <w:rFonts w:ascii="Gotham" w:hAnsi="Gotham"/>
        </w:rPr>
        <w:t>mitigació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del canvi climàtic.</w:t>
      </w:r>
    </w:p>
    <w:p w14:paraId="35E6F53A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062"/>
        </w:tabs>
        <w:autoSpaceDE w:val="0"/>
        <w:autoSpaceDN w:val="0"/>
        <w:spacing w:before="203" w:line="276" w:lineRule="auto"/>
        <w:jc w:val="both"/>
        <w:rPr>
          <w:rFonts w:ascii="Gotham" w:hAnsi="Gotham"/>
        </w:rPr>
      </w:pPr>
      <w:r w:rsidRPr="004C19DF">
        <w:rPr>
          <w:rFonts w:ascii="Gotham" w:hAnsi="Gotham"/>
        </w:rPr>
        <w:t>Activitats relacionades amb els combustibles fòssils, inclosa la utilització ulterior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d’aquests, excepte els projectes relacionats amb la generació d'electricitat i/o calor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utilitzant gas natural, així com amb la infraestructura de transport i distribució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connexa, que compleixin les condicions establertes a l'annex III de la Guia tècnica de</w:t>
      </w:r>
      <w:r w:rsidRPr="004C19DF">
        <w:rPr>
          <w:rFonts w:ascii="Gotham" w:hAnsi="Gotham"/>
          <w:spacing w:val="-59"/>
        </w:rPr>
        <w:t xml:space="preserve"> </w:t>
      </w:r>
      <w:r w:rsidRPr="004C19DF">
        <w:rPr>
          <w:rFonts w:ascii="Gotham" w:hAnsi="Gotham"/>
        </w:rPr>
        <w:t>la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Comissió Europea.</w:t>
      </w:r>
    </w:p>
    <w:p w14:paraId="785A7846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062"/>
        </w:tabs>
        <w:autoSpaceDE w:val="0"/>
        <w:autoSpaceDN w:val="0"/>
        <w:spacing w:before="194" w:line="276" w:lineRule="auto"/>
        <w:jc w:val="both"/>
        <w:rPr>
          <w:rFonts w:ascii="Gotham" w:hAnsi="Gotham"/>
        </w:rPr>
      </w:pPr>
      <w:r w:rsidRPr="004C19DF">
        <w:rPr>
          <w:rFonts w:ascii="Gotham" w:hAnsi="Gotham"/>
        </w:rPr>
        <w:t>Activitats i actius en el marc del règim de comerç de drets d'emissió de la UE (RCDE)</w:t>
      </w:r>
      <w:r w:rsidRPr="004C19DF">
        <w:rPr>
          <w:rFonts w:ascii="Gotham" w:hAnsi="Gotham"/>
          <w:spacing w:val="-59"/>
        </w:rPr>
        <w:t xml:space="preserve"> </w:t>
      </w:r>
      <w:r w:rsidRPr="004C19DF">
        <w:rPr>
          <w:rFonts w:ascii="Gotham" w:hAnsi="Gotham"/>
        </w:rPr>
        <w:t>en relació amb les quals es prevegi que les emissions de gasos amb efecte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d’hivernacle que provocaran no se situaran per sota dels paràmetres de referència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pertinents. Quan es prevegi que les emissions de gasos amb efecte d’hivernacle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provocades per l'activitat subvencionada no seran significativament inferiors als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paràmetres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de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referència,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cal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facilitar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una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explicació motivada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al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respecte.</w:t>
      </w:r>
    </w:p>
    <w:p w14:paraId="41C51D33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spacing w:before="199"/>
        <w:ind w:hanging="361"/>
        <w:jc w:val="both"/>
        <w:rPr>
          <w:rFonts w:ascii="Gotham" w:hAnsi="Gotham"/>
        </w:rPr>
      </w:pPr>
      <w:r w:rsidRPr="004C19DF">
        <w:rPr>
          <w:rFonts w:ascii="Gotham" w:hAnsi="Gotham"/>
        </w:rPr>
        <w:t>Compensació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dels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costos indirectes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del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RCDE.</w:t>
      </w:r>
    </w:p>
    <w:p w14:paraId="41FE0C76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spacing w:before="233" w:line="276" w:lineRule="auto"/>
        <w:jc w:val="both"/>
        <w:rPr>
          <w:rFonts w:ascii="Gotham" w:hAnsi="Gotham"/>
        </w:rPr>
      </w:pPr>
      <w:r w:rsidRPr="004C19DF">
        <w:rPr>
          <w:rFonts w:ascii="Gotham" w:hAnsi="Gotham"/>
        </w:rPr>
        <w:t>Activitats relacionades amb abocadors de residus i incineradores</w:t>
      </w:r>
      <w:r w:rsidRPr="004C19DF">
        <w:rPr>
          <w:rFonts w:ascii="Gotham" w:hAnsi="Gotham"/>
          <w:b/>
          <w:color w:val="95C21F"/>
        </w:rPr>
        <w:t xml:space="preserve">. </w:t>
      </w:r>
      <w:r w:rsidRPr="004C19DF">
        <w:rPr>
          <w:rFonts w:ascii="Gotham" w:hAnsi="Gotham"/>
        </w:rPr>
        <w:t>Aquesta exclusió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no s'aplica 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les accions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en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plantes dedicades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exclusivament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al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tractament</w:t>
      </w:r>
      <w:r w:rsidRPr="004C19DF">
        <w:rPr>
          <w:rFonts w:ascii="Gotham" w:hAnsi="Gotham"/>
          <w:spacing w:val="3"/>
        </w:rPr>
        <w:t xml:space="preserve"> </w:t>
      </w:r>
      <w:r w:rsidRPr="004C19DF">
        <w:rPr>
          <w:rFonts w:ascii="Gotham" w:hAnsi="Gotham"/>
        </w:rPr>
        <w:t>de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residus perillosos no reciclables, ni a les plantes existents, quan aquestes accions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tinguin per objecte augmentar l'eficiència energètica, capturar els gasos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d'escapament per emmagatzematge o utilització, o recuperar materials de les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cendres d'incineració, sempre que aquestes accions no comportin un augment de la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capacitat de tractament de residus de les plantes o a una prolongació de la seva vida</w:t>
      </w:r>
      <w:r w:rsidRPr="004C19DF">
        <w:rPr>
          <w:rFonts w:ascii="Gotham" w:hAnsi="Gotham"/>
          <w:spacing w:val="-59"/>
        </w:rPr>
        <w:t xml:space="preserve"> </w:t>
      </w:r>
      <w:r w:rsidRPr="004C19DF">
        <w:rPr>
          <w:rFonts w:ascii="Gotham" w:hAnsi="Gotham"/>
        </w:rPr>
        <w:t>útil.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Aquests detalls s'hauran de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justificar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documentalment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per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a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cada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planta.</w:t>
      </w:r>
    </w:p>
    <w:p w14:paraId="4A30EA07" w14:textId="77777777" w:rsidR="00F109AA" w:rsidRPr="004C19DF" w:rsidRDefault="00F109AA" w:rsidP="00F109AA">
      <w:pPr>
        <w:pStyle w:val="Textoindependiente"/>
        <w:numPr>
          <w:ilvl w:val="1"/>
          <w:numId w:val="38"/>
        </w:numPr>
        <w:spacing w:before="94" w:line="276" w:lineRule="auto"/>
        <w:jc w:val="both"/>
        <w:rPr>
          <w:rFonts w:ascii="Gotham" w:hAnsi="Gotham"/>
          <w:sz w:val="20"/>
        </w:rPr>
      </w:pPr>
      <w:r w:rsidRPr="004C19DF">
        <w:rPr>
          <w:rFonts w:ascii="Gotham" w:hAnsi="Gotham"/>
          <w:sz w:val="20"/>
        </w:rPr>
        <w:t>Activitats relacionades amb plantes de tractament mecànic-biològic. Aquesta exclusió</w:t>
      </w:r>
      <w:r w:rsidRPr="004C19DF">
        <w:rPr>
          <w:rFonts w:ascii="Gotham" w:hAnsi="Gotham"/>
          <w:spacing w:val="-59"/>
          <w:sz w:val="20"/>
        </w:rPr>
        <w:t xml:space="preserve"> </w:t>
      </w:r>
      <w:r w:rsidRPr="004C19DF">
        <w:rPr>
          <w:rFonts w:ascii="Gotham" w:hAnsi="Gotham"/>
          <w:sz w:val="20"/>
        </w:rPr>
        <w:t>no</w:t>
      </w:r>
      <w:r w:rsidRPr="004C19DF">
        <w:rPr>
          <w:rFonts w:ascii="Gotham" w:hAnsi="Gotham"/>
          <w:spacing w:val="-1"/>
          <w:sz w:val="20"/>
        </w:rPr>
        <w:t xml:space="preserve"> </w:t>
      </w:r>
      <w:r w:rsidRPr="004C19DF">
        <w:rPr>
          <w:rFonts w:ascii="Gotham" w:hAnsi="Gotham"/>
          <w:sz w:val="20"/>
        </w:rPr>
        <w:t>s'aplica</w:t>
      </w:r>
      <w:r w:rsidRPr="004C19DF">
        <w:rPr>
          <w:rFonts w:ascii="Gotham" w:hAnsi="Gotham"/>
          <w:spacing w:val="-1"/>
          <w:sz w:val="20"/>
        </w:rPr>
        <w:t xml:space="preserve"> </w:t>
      </w:r>
      <w:r w:rsidRPr="004C19DF">
        <w:rPr>
          <w:rFonts w:ascii="Gotham" w:hAnsi="Gotham"/>
          <w:sz w:val="20"/>
        </w:rPr>
        <w:t>a</w:t>
      </w:r>
      <w:r w:rsidRPr="004C19DF">
        <w:rPr>
          <w:rFonts w:ascii="Gotham" w:hAnsi="Gotham"/>
          <w:spacing w:val="-2"/>
          <w:sz w:val="20"/>
        </w:rPr>
        <w:t xml:space="preserve"> </w:t>
      </w:r>
      <w:r w:rsidRPr="004C19DF">
        <w:rPr>
          <w:rFonts w:ascii="Gotham" w:hAnsi="Gotham"/>
          <w:sz w:val="20"/>
        </w:rPr>
        <w:t>les</w:t>
      </w:r>
      <w:r w:rsidRPr="004C19DF">
        <w:rPr>
          <w:rFonts w:ascii="Gotham" w:hAnsi="Gotham"/>
          <w:spacing w:val="-1"/>
          <w:sz w:val="20"/>
        </w:rPr>
        <w:t xml:space="preserve"> </w:t>
      </w:r>
      <w:r w:rsidRPr="004C19DF">
        <w:rPr>
          <w:rFonts w:ascii="Gotham" w:hAnsi="Gotham"/>
          <w:sz w:val="20"/>
        </w:rPr>
        <w:t>accions</w:t>
      </w:r>
      <w:r w:rsidRPr="004C19DF">
        <w:rPr>
          <w:rFonts w:ascii="Gotham" w:hAnsi="Gotham"/>
          <w:spacing w:val="-5"/>
          <w:sz w:val="20"/>
        </w:rPr>
        <w:t xml:space="preserve"> </w:t>
      </w:r>
      <w:r w:rsidRPr="004C19DF">
        <w:rPr>
          <w:rFonts w:ascii="Gotham" w:hAnsi="Gotham"/>
          <w:sz w:val="20"/>
        </w:rPr>
        <w:t>en plantes</w:t>
      </w:r>
      <w:r w:rsidRPr="004C19DF">
        <w:rPr>
          <w:rFonts w:ascii="Gotham" w:hAnsi="Gotham"/>
          <w:spacing w:val="-1"/>
          <w:sz w:val="20"/>
        </w:rPr>
        <w:t xml:space="preserve"> </w:t>
      </w:r>
      <w:r w:rsidRPr="004C19DF">
        <w:rPr>
          <w:rFonts w:ascii="Gotham" w:hAnsi="Gotham"/>
          <w:sz w:val="20"/>
        </w:rPr>
        <w:t>de</w:t>
      </w:r>
      <w:r w:rsidRPr="004C19DF">
        <w:rPr>
          <w:rFonts w:ascii="Gotham" w:hAnsi="Gotham"/>
          <w:spacing w:val="-3"/>
          <w:sz w:val="20"/>
        </w:rPr>
        <w:t xml:space="preserve"> </w:t>
      </w:r>
      <w:r w:rsidRPr="004C19DF">
        <w:rPr>
          <w:rFonts w:ascii="Gotham" w:hAnsi="Gotham"/>
          <w:sz w:val="20"/>
        </w:rPr>
        <w:t>tractament</w:t>
      </w:r>
      <w:r w:rsidRPr="004C19DF">
        <w:rPr>
          <w:rFonts w:ascii="Gotham" w:hAnsi="Gotham"/>
          <w:spacing w:val="-1"/>
          <w:sz w:val="20"/>
        </w:rPr>
        <w:t xml:space="preserve"> </w:t>
      </w:r>
      <w:r w:rsidRPr="004C19DF">
        <w:rPr>
          <w:rFonts w:ascii="Gotham" w:hAnsi="Gotham"/>
          <w:sz w:val="20"/>
        </w:rPr>
        <w:t>mecànic-biològic existents,</w:t>
      </w:r>
      <w:r w:rsidRPr="004C19DF">
        <w:rPr>
          <w:rFonts w:ascii="Gotham" w:hAnsi="Gotham"/>
          <w:spacing w:val="-3"/>
          <w:sz w:val="20"/>
        </w:rPr>
        <w:t xml:space="preserve"> </w:t>
      </w:r>
      <w:r w:rsidRPr="004C19DF">
        <w:rPr>
          <w:rFonts w:ascii="Gotham" w:hAnsi="Gotham"/>
          <w:sz w:val="20"/>
        </w:rPr>
        <w:t>quan aquestes accions tinguin per objecte augmentar l'eficiència energètica o el</w:t>
      </w:r>
      <w:r w:rsidRPr="004C19DF">
        <w:rPr>
          <w:rFonts w:ascii="Gotham" w:hAnsi="Gotham"/>
          <w:spacing w:val="1"/>
          <w:sz w:val="20"/>
        </w:rPr>
        <w:t xml:space="preserve"> </w:t>
      </w:r>
      <w:proofErr w:type="spellStart"/>
      <w:r w:rsidRPr="004C19DF">
        <w:rPr>
          <w:rFonts w:ascii="Gotham" w:hAnsi="Gotham"/>
          <w:sz w:val="20"/>
        </w:rPr>
        <w:t>recondicionament</w:t>
      </w:r>
      <w:proofErr w:type="spellEnd"/>
      <w:r w:rsidRPr="004C19DF">
        <w:rPr>
          <w:rFonts w:ascii="Gotham" w:hAnsi="Gotham"/>
          <w:sz w:val="20"/>
        </w:rPr>
        <w:t xml:space="preserve"> per a operacions de reciclatge de residus separats, com el</w:t>
      </w:r>
      <w:r w:rsidRPr="004C19DF">
        <w:rPr>
          <w:rFonts w:ascii="Gotham" w:hAnsi="Gotham"/>
          <w:spacing w:val="1"/>
          <w:sz w:val="20"/>
        </w:rPr>
        <w:t xml:space="preserve"> </w:t>
      </w:r>
      <w:r w:rsidRPr="004C19DF">
        <w:rPr>
          <w:rFonts w:ascii="Gotham" w:hAnsi="Gotham"/>
          <w:sz w:val="20"/>
        </w:rPr>
        <w:t xml:space="preserve">compostatge i la digestió anaeròbia de </w:t>
      </w:r>
      <w:proofErr w:type="spellStart"/>
      <w:r w:rsidRPr="004C19DF">
        <w:rPr>
          <w:rFonts w:ascii="Gotham" w:hAnsi="Gotham"/>
          <w:sz w:val="20"/>
        </w:rPr>
        <w:t>bioresidus</w:t>
      </w:r>
      <w:proofErr w:type="spellEnd"/>
      <w:r w:rsidRPr="004C19DF">
        <w:rPr>
          <w:rFonts w:ascii="Gotham" w:hAnsi="Gotham"/>
          <w:sz w:val="20"/>
        </w:rPr>
        <w:t>, sempre que aquestes accions no</w:t>
      </w:r>
      <w:r w:rsidRPr="004C19DF">
        <w:rPr>
          <w:rFonts w:ascii="Gotham" w:hAnsi="Gotham"/>
          <w:spacing w:val="-59"/>
          <w:sz w:val="20"/>
        </w:rPr>
        <w:t xml:space="preserve"> </w:t>
      </w:r>
      <w:r w:rsidRPr="004C19DF">
        <w:rPr>
          <w:rFonts w:ascii="Gotham" w:hAnsi="Gotham"/>
          <w:sz w:val="20"/>
        </w:rPr>
        <w:t>comportin un augment de la capacitat de tractament de residus de les plantes o una</w:t>
      </w:r>
      <w:r w:rsidRPr="004C19DF">
        <w:rPr>
          <w:rFonts w:ascii="Gotham" w:hAnsi="Gotham"/>
          <w:spacing w:val="-59"/>
          <w:sz w:val="20"/>
        </w:rPr>
        <w:t xml:space="preserve"> </w:t>
      </w:r>
      <w:r w:rsidRPr="004C19DF">
        <w:rPr>
          <w:rFonts w:ascii="Gotham" w:hAnsi="Gotham"/>
          <w:sz w:val="20"/>
        </w:rPr>
        <w:t>prolongació de la vida útil. Aquests detalls s'hauran de justificar documentalment per</w:t>
      </w:r>
      <w:r w:rsidRPr="004C19DF">
        <w:rPr>
          <w:rFonts w:ascii="Gotham" w:hAnsi="Gotham"/>
          <w:spacing w:val="-60"/>
          <w:sz w:val="20"/>
        </w:rPr>
        <w:t xml:space="preserve"> </w:t>
      </w:r>
      <w:r w:rsidRPr="004C19DF">
        <w:rPr>
          <w:rFonts w:ascii="Gotham" w:hAnsi="Gotham"/>
          <w:sz w:val="20"/>
        </w:rPr>
        <w:t>a cada planta.</w:t>
      </w:r>
    </w:p>
    <w:p w14:paraId="518EDC3E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spacing w:before="200" w:line="273" w:lineRule="auto"/>
        <w:jc w:val="both"/>
        <w:rPr>
          <w:rFonts w:ascii="Gotham" w:hAnsi="Gotham"/>
        </w:rPr>
      </w:pPr>
      <w:r w:rsidRPr="004C19DF">
        <w:rPr>
          <w:rFonts w:ascii="Gotham" w:hAnsi="Gotham"/>
        </w:rPr>
        <w:t>Activitats en què l'eliminació a llarg termini de residus pugui causar danys al medi</w:t>
      </w:r>
      <w:r w:rsidRPr="004C19DF">
        <w:rPr>
          <w:rFonts w:ascii="Gotham" w:hAnsi="Gotham"/>
          <w:spacing w:val="-59"/>
        </w:rPr>
        <w:t xml:space="preserve"> </w:t>
      </w:r>
      <w:r w:rsidRPr="004C19DF">
        <w:rPr>
          <w:rFonts w:ascii="Gotham" w:hAnsi="Gotham"/>
        </w:rPr>
        <w:t>ambient.</w:t>
      </w:r>
    </w:p>
    <w:p w14:paraId="70A41E39" w14:textId="77777777" w:rsidR="00F109AA" w:rsidRPr="004C19DF" w:rsidRDefault="00F109AA" w:rsidP="00F109AA">
      <w:pPr>
        <w:widowControl w:val="0"/>
        <w:tabs>
          <w:tab w:val="left" w:pos="1421"/>
          <w:tab w:val="left" w:pos="1422"/>
        </w:tabs>
        <w:autoSpaceDE w:val="0"/>
        <w:autoSpaceDN w:val="0"/>
        <w:spacing w:before="198" w:line="273" w:lineRule="auto"/>
        <w:rPr>
          <w:rFonts w:ascii="Gotham" w:hAnsi="Gotham"/>
        </w:rPr>
      </w:pPr>
    </w:p>
    <w:p w14:paraId="63285988" w14:textId="77777777" w:rsidR="00F109AA" w:rsidRPr="004C19DF" w:rsidRDefault="00F109AA" w:rsidP="00F109AA">
      <w:pPr>
        <w:widowControl w:val="0"/>
        <w:tabs>
          <w:tab w:val="left" w:pos="1062"/>
        </w:tabs>
        <w:autoSpaceDE w:val="0"/>
        <w:autoSpaceDN w:val="0"/>
        <w:spacing w:before="233" w:line="278" w:lineRule="auto"/>
        <w:rPr>
          <w:rFonts w:ascii="Gotham" w:hAnsi="Gotham"/>
        </w:rPr>
      </w:pPr>
    </w:p>
    <w:p w14:paraId="1DFF94BE" w14:textId="77777777" w:rsidR="00F109AA" w:rsidRPr="004C19DF" w:rsidRDefault="00F109AA" w:rsidP="00F109AA">
      <w:pPr>
        <w:pStyle w:val="Textoindependiente"/>
        <w:numPr>
          <w:ilvl w:val="0"/>
          <w:numId w:val="38"/>
        </w:numPr>
        <w:tabs>
          <w:tab w:val="left" w:pos="8482"/>
        </w:tabs>
        <w:spacing w:before="202" w:line="276" w:lineRule="auto"/>
        <w:ind w:left="426" w:right="307"/>
        <w:jc w:val="both"/>
        <w:rPr>
          <w:rFonts w:ascii="Gotham" w:hAnsi="Gotham"/>
          <w:sz w:val="20"/>
        </w:rPr>
      </w:pPr>
      <w:r w:rsidRPr="004C19DF">
        <w:rPr>
          <w:rFonts w:ascii="Gotham" w:hAnsi="Gotham"/>
          <w:sz w:val="20"/>
        </w:rPr>
        <w:lastRenderedPageBreak/>
        <w:t>Les activitats que es desenvolupin no causaran efectes directes sobre el medi ambient, ni</w:t>
      </w:r>
      <w:r w:rsidRPr="004C19DF">
        <w:rPr>
          <w:rFonts w:ascii="Gotham" w:hAnsi="Gotham"/>
          <w:spacing w:val="-59"/>
          <w:sz w:val="20"/>
        </w:rPr>
        <w:t xml:space="preserve">   </w:t>
      </w:r>
      <w:r w:rsidRPr="004C19DF">
        <w:rPr>
          <w:rFonts w:ascii="Gotham" w:hAnsi="Gotham"/>
          <w:sz w:val="20"/>
        </w:rPr>
        <w:t xml:space="preserve"> efectes indirectes primaris en tot el seu cicle de vida, entenent com a tals els que es puguin</w:t>
      </w:r>
      <w:r w:rsidRPr="004C19DF">
        <w:rPr>
          <w:rFonts w:ascii="Gotham" w:hAnsi="Gotham"/>
          <w:spacing w:val="1"/>
          <w:sz w:val="20"/>
        </w:rPr>
        <w:t xml:space="preserve"> </w:t>
      </w:r>
      <w:r w:rsidRPr="004C19DF">
        <w:rPr>
          <w:rFonts w:ascii="Gotham" w:hAnsi="Gotham"/>
          <w:sz w:val="20"/>
        </w:rPr>
        <w:t>materialitzar una vegada realitzada</w:t>
      </w:r>
      <w:r w:rsidRPr="004C19DF">
        <w:rPr>
          <w:rFonts w:ascii="Gotham" w:hAnsi="Gotham"/>
          <w:spacing w:val="-1"/>
          <w:sz w:val="20"/>
        </w:rPr>
        <w:t xml:space="preserve"> </w:t>
      </w:r>
      <w:r w:rsidRPr="004C19DF">
        <w:rPr>
          <w:rFonts w:ascii="Gotham" w:hAnsi="Gotham"/>
          <w:sz w:val="20"/>
        </w:rPr>
        <w:t>l’activitat.</w:t>
      </w:r>
    </w:p>
    <w:p w14:paraId="70FA0ACC" w14:textId="77777777" w:rsidR="00F109AA" w:rsidRPr="004C19DF" w:rsidRDefault="00F109AA" w:rsidP="00F109AA">
      <w:pPr>
        <w:pStyle w:val="Textoindependiente"/>
        <w:spacing w:before="201" w:line="276" w:lineRule="auto"/>
        <w:ind w:right="319"/>
        <w:rPr>
          <w:rFonts w:ascii="Gotham" w:hAnsi="Gotham"/>
          <w:sz w:val="20"/>
        </w:rPr>
      </w:pPr>
    </w:p>
    <w:p w14:paraId="437D22C7" w14:textId="77777777" w:rsidR="00F109AA" w:rsidRPr="004C19DF" w:rsidRDefault="00F109AA" w:rsidP="00F109AA">
      <w:pPr>
        <w:pStyle w:val="Textoindependiente"/>
        <w:spacing w:before="201" w:line="276" w:lineRule="auto"/>
        <w:ind w:right="319"/>
        <w:jc w:val="both"/>
        <w:rPr>
          <w:rFonts w:ascii="Gotham" w:hAnsi="Gotham"/>
          <w:sz w:val="20"/>
        </w:rPr>
      </w:pPr>
      <w:r w:rsidRPr="004C19DF">
        <w:rPr>
          <w:rFonts w:ascii="Gotham" w:hAnsi="Gotham"/>
          <w:sz w:val="20"/>
        </w:rPr>
        <w:t>Tinc coneixement que l’incompliment d’algun dels requisits que estableix aquesta declaració</w:t>
      </w:r>
      <w:r w:rsidRPr="004C19DF">
        <w:rPr>
          <w:rFonts w:ascii="Gotham" w:hAnsi="Gotham"/>
          <w:spacing w:val="-59"/>
          <w:sz w:val="20"/>
        </w:rPr>
        <w:t xml:space="preserve">    </w:t>
      </w:r>
      <w:r w:rsidRPr="004C19DF">
        <w:rPr>
          <w:rFonts w:ascii="Gotham" w:hAnsi="Gotham"/>
          <w:sz w:val="20"/>
        </w:rPr>
        <w:t xml:space="preserve"> dona lloc a l’obligació de retornar les quantitats percebudes i els interessos de demora</w:t>
      </w:r>
      <w:r w:rsidRPr="004C19DF">
        <w:rPr>
          <w:rFonts w:ascii="Gotham" w:hAnsi="Gotham"/>
          <w:spacing w:val="1"/>
          <w:sz w:val="20"/>
        </w:rPr>
        <w:t xml:space="preserve"> </w:t>
      </w:r>
      <w:r w:rsidRPr="004C19DF">
        <w:rPr>
          <w:rFonts w:ascii="Gotham" w:hAnsi="Gotham"/>
          <w:sz w:val="20"/>
        </w:rPr>
        <w:t>corresponents.</w:t>
      </w:r>
    </w:p>
    <w:p w14:paraId="32AC1113" w14:textId="77777777" w:rsidR="00F109AA" w:rsidRPr="004C19DF" w:rsidRDefault="00F109AA" w:rsidP="00F109AA">
      <w:pPr>
        <w:spacing w:before="100" w:beforeAutospacing="1" w:after="100" w:afterAutospacing="1"/>
        <w:rPr>
          <w:rFonts w:ascii="Gotham" w:hAnsi="Gotham"/>
          <w:lang w:eastAsia="es-ES"/>
        </w:rPr>
      </w:pPr>
    </w:p>
    <w:p w14:paraId="0E17C525" w14:textId="77777777" w:rsidR="00F109AA" w:rsidRPr="004C19DF" w:rsidRDefault="00F109AA" w:rsidP="00F109AA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Mataró, a data de la signatura electrònica</w:t>
      </w:r>
    </w:p>
    <w:p w14:paraId="40F2DB9B" w14:textId="77777777" w:rsidR="00F109AA" w:rsidRPr="004C19DF" w:rsidRDefault="00F109AA" w:rsidP="00F109AA">
      <w:pPr>
        <w:spacing w:before="100" w:beforeAutospacing="1" w:after="100" w:afterAutospacing="1"/>
        <w:rPr>
          <w:rFonts w:ascii="Gotham" w:hAnsi="Gotham"/>
          <w:lang w:eastAsia="es-ES"/>
        </w:rPr>
      </w:pPr>
    </w:p>
    <w:p w14:paraId="2ED80323" w14:textId="1DAAA70C" w:rsidR="00535BE9" w:rsidRPr="004C19DF" w:rsidRDefault="00535BE9" w:rsidP="00F109AA">
      <w:pPr>
        <w:spacing w:before="120" w:after="120"/>
        <w:rPr>
          <w:rFonts w:ascii="Gotham" w:hAnsi="Gotham"/>
          <w:lang w:eastAsia="es-ES"/>
        </w:rPr>
      </w:pPr>
    </w:p>
    <w:sectPr w:rsidR="00535BE9" w:rsidRPr="004C19DF" w:rsidSect="00D14E4A"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TradeGothic-Light"/>
    <w:charset w:val="00"/>
    <w:family w:val="auto"/>
    <w:pitch w:val="variable"/>
    <w:sig w:usb0="03000000" w:usb1="00000000" w:usb2="00000000" w:usb3="00000000" w:csb0="00000001" w:csb1="00000000"/>
  </w:font>
  <w:font w:name="TradeGothic-BoldTwo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6334C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6334C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0FFC4B33" w:rsidR="001E7B8F" w:rsidRPr="00B6334C" w:rsidRDefault="00E52249">
    <w:pPr>
      <w:pStyle w:val="Encabezado"/>
      <w:rPr>
        <w:i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  <w:r w:rsidR="00B6334C">
      <w:rPr>
        <w:noProof/>
      </w:rPr>
      <w:drawing>
        <wp:anchor distT="0" distB="0" distL="0" distR="0" simplePos="0" relativeHeight="251661824" behindDoc="0" locked="0" layoutInCell="1" allowOverlap="1" wp14:anchorId="5CDDAD41" wp14:editId="3F4C8CA0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396230" cy="759460"/>
          <wp:effectExtent l="0" t="0" r="0" b="0"/>
          <wp:wrapNone/>
          <wp:docPr id="15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6230" cy="759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B0F86"/>
    <w:multiLevelType w:val="hybridMultilevel"/>
    <w:tmpl w:val="763EB58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CA7784"/>
    <w:multiLevelType w:val="hybridMultilevel"/>
    <w:tmpl w:val="42900D28"/>
    <w:lvl w:ilvl="0" w:tplc="34F64C48">
      <w:start w:val="1"/>
      <w:numFmt w:val="lowerLetter"/>
      <w:lvlText w:val="%1)"/>
      <w:lvlJc w:val="left"/>
      <w:pPr>
        <w:ind w:left="1062" w:hanging="360"/>
      </w:pPr>
      <w:rPr>
        <w:rFonts w:ascii="Gotham" w:eastAsia="Arial MT" w:hAnsi="Gotham" w:cs="Arial MT" w:hint="default"/>
        <w:spacing w:val="-1"/>
        <w:w w:val="100"/>
        <w:sz w:val="20"/>
        <w:szCs w:val="20"/>
        <w:lang w:val="ca-ES" w:eastAsia="en-US" w:bidi="ar-SA"/>
      </w:rPr>
    </w:lvl>
    <w:lvl w:ilvl="1" w:tplc="F8BE42A4">
      <w:numFmt w:val="bullet"/>
      <w:lvlText w:val=""/>
      <w:lvlJc w:val="left"/>
      <w:pPr>
        <w:ind w:left="1422" w:hanging="360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2" w:tplc="16EEF214">
      <w:numFmt w:val="bullet"/>
      <w:lvlText w:val="•"/>
      <w:lvlJc w:val="left"/>
      <w:pPr>
        <w:ind w:left="2376" w:hanging="360"/>
      </w:pPr>
      <w:rPr>
        <w:rFonts w:hint="default"/>
        <w:lang w:val="ca-ES" w:eastAsia="en-US" w:bidi="ar-SA"/>
      </w:rPr>
    </w:lvl>
    <w:lvl w:ilvl="3" w:tplc="699ABE2E">
      <w:numFmt w:val="bullet"/>
      <w:lvlText w:val="•"/>
      <w:lvlJc w:val="left"/>
      <w:pPr>
        <w:ind w:left="3332" w:hanging="360"/>
      </w:pPr>
      <w:rPr>
        <w:rFonts w:hint="default"/>
        <w:lang w:val="ca-ES" w:eastAsia="en-US" w:bidi="ar-SA"/>
      </w:rPr>
    </w:lvl>
    <w:lvl w:ilvl="4" w:tplc="7AFCA9D6">
      <w:numFmt w:val="bullet"/>
      <w:lvlText w:val="•"/>
      <w:lvlJc w:val="left"/>
      <w:pPr>
        <w:ind w:left="4288" w:hanging="360"/>
      </w:pPr>
      <w:rPr>
        <w:rFonts w:hint="default"/>
        <w:lang w:val="ca-ES" w:eastAsia="en-US" w:bidi="ar-SA"/>
      </w:rPr>
    </w:lvl>
    <w:lvl w:ilvl="5" w:tplc="F44476B6">
      <w:numFmt w:val="bullet"/>
      <w:lvlText w:val="•"/>
      <w:lvlJc w:val="left"/>
      <w:pPr>
        <w:ind w:left="5245" w:hanging="360"/>
      </w:pPr>
      <w:rPr>
        <w:rFonts w:hint="default"/>
        <w:lang w:val="ca-ES" w:eastAsia="en-US" w:bidi="ar-SA"/>
      </w:rPr>
    </w:lvl>
    <w:lvl w:ilvl="6" w:tplc="949ED5B0">
      <w:numFmt w:val="bullet"/>
      <w:lvlText w:val="•"/>
      <w:lvlJc w:val="left"/>
      <w:pPr>
        <w:ind w:left="6201" w:hanging="360"/>
      </w:pPr>
      <w:rPr>
        <w:rFonts w:hint="default"/>
        <w:lang w:val="ca-ES" w:eastAsia="en-US" w:bidi="ar-SA"/>
      </w:rPr>
    </w:lvl>
    <w:lvl w:ilvl="7" w:tplc="446E98E4">
      <w:numFmt w:val="bullet"/>
      <w:lvlText w:val="•"/>
      <w:lvlJc w:val="left"/>
      <w:pPr>
        <w:ind w:left="7157" w:hanging="360"/>
      </w:pPr>
      <w:rPr>
        <w:rFonts w:hint="default"/>
        <w:lang w:val="ca-ES" w:eastAsia="en-US" w:bidi="ar-SA"/>
      </w:rPr>
    </w:lvl>
    <w:lvl w:ilvl="8" w:tplc="D33C4C1A">
      <w:numFmt w:val="bullet"/>
      <w:lvlText w:val="•"/>
      <w:lvlJc w:val="left"/>
      <w:pPr>
        <w:ind w:left="8113" w:hanging="360"/>
      </w:pPr>
      <w:rPr>
        <w:rFonts w:hint="default"/>
        <w:lang w:val="ca-ES" w:eastAsia="en-US" w:bidi="ar-SA"/>
      </w:rPr>
    </w:lvl>
  </w:abstractNum>
  <w:abstractNum w:abstractNumId="26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4"/>
  </w:num>
  <w:num w:numId="6">
    <w:abstractNumId w:val="13"/>
  </w:num>
  <w:num w:numId="7">
    <w:abstractNumId w:val="4"/>
  </w:num>
  <w:num w:numId="8">
    <w:abstractNumId w:val="9"/>
  </w:num>
  <w:num w:numId="9">
    <w:abstractNumId w:val="33"/>
  </w:num>
  <w:num w:numId="10">
    <w:abstractNumId w:val="11"/>
  </w:num>
  <w:num w:numId="11">
    <w:abstractNumId w:val="20"/>
  </w:num>
  <w:num w:numId="12">
    <w:abstractNumId w:val="28"/>
  </w:num>
  <w:num w:numId="13">
    <w:abstractNumId w:val="8"/>
  </w:num>
  <w:num w:numId="14">
    <w:abstractNumId w:val="18"/>
  </w:num>
  <w:num w:numId="15">
    <w:abstractNumId w:val="21"/>
  </w:num>
  <w:num w:numId="16">
    <w:abstractNumId w:val="23"/>
  </w:num>
  <w:num w:numId="17">
    <w:abstractNumId w:val="32"/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5"/>
  </w:num>
  <w:num w:numId="21">
    <w:abstractNumId w:val="17"/>
  </w:num>
  <w:num w:numId="22">
    <w:abstractNumId w:val="3"/>
  </w:num>
  <w:num w:numId="23">
    <w:abstractNumId w:val="14"/>
  </w:num>
  <w:num w:numId="24">
    <w:abstractNumId w:val="31"/>
  </w:num>
  <w:num w:numId="25">
    <w:abstractNumId w:val="0"/>
  </w:num>
  <w:num w:numId="26">
    <w:abstractNumId w:val="12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29"/>
  </w:num>
  <w:num w:numId="31">
    <w:abstractNumId w:val="27"/>
  </w:num>
  <w:num w:numId="32">
    <w:abstractNumId w:val="16"/>
  </w:num>
  <w:num w:numId="33">
    <w:abstractNumId w:val="29"/>
  </w:num>
  <w:num w:numId="34">
    <w:abstractNumId w:val="26"/>
  </w:num>
  <w:num w:numId="35">
    <w:abstractNumId w:val="29"/>
  </w:num>
  <w:num w:numId="36">
    <w:abstractNumId w:val="24"/>
  </w:num>
  <w:num w:numId="37">
    <w:abstractNumId w:val="2"/>
  </w:num>
  <w:num w:numId="38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70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5BE9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21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334C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09AA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aliases w:val="Lista sin Numerar,Párrafo Numerado,Párrafo de lista1,List Paragraph"/>
    <w:basedOn w:val="Normal"/>
    <w:link w:val="PrrafodelistaCar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  <w:style w:type="character" w:customStyle="1" w:styleId="PrrafodelistaCar">
    <w:name w:val="Párrafo de lista Car"/>
    <w:aliases w:val="Lista sin Numerar Car,Párrafo Numerado Car,Párrafo de lista1 Car,List Paragraph Car"/>
    <w:link w:val="Prrafodelista"/>
    <w:uiPriority w:val="34"/>
    <w:locked/>
    <w:rsid w:val="00170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doc.php?id=DOUE-Z-2021-70014" TargetMode="External"/><Relationship Id="rId13" Type="http://schemas.openxmlformats.org/officeDocument/2006/relationships/hyperlink" Target="https://ec.europa.eu/info/sites/default/files/com_322_1_annex_es.pdf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c.europa.eu/info/sites/default/files/com_322_1_es.pdf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c.europa.eu/info/sites/default/files/com_322_1_es.pd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boe.es/buscar/doc.php?id=DOUE-Z-2021-70014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oe.es/buscar/doc.php?id=DOUE-Z-2021-70014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9A9651-EC4B-4944-9A2C-57DFB42E1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731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5616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3</cp:revision>
  <cp:lastPrinted>2023-01-14T12:26:00Z</cp:lastPrinted>
  <dcterms:created xsi:type="dcterms:W3CDTF">2023-03-28T07:56:00Z</dcterms:created>
  <dcterms:modified xsi:type="dcterms:W3CDTF">2023-05-29T12:05:00Z</dcterms:modified>
</cp:coreProperties>
</file>